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right="0" w:firstLine="876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6"/>
          <w:sz w:val="19"/>
          <w:szCs w:val="19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6"/>
          <w:sz w:val="28"/>
          <w:szCs w:val="28"/>
          <w:shd w:val="clear" w:fill="FFFFFF"/>
          <w:lang w:val="en-US" w:eastAsia="zh-CN"/>
        </w:rPr>
        <w:t>青岛农业大学离退休工作处优秀志愿者评选办法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right="0" w:firstLine="624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青水杉志愿者协会成立以来，会员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队伍不断扩大，志愿服务领域不断拓展，志愿服务理念广泛传播，影响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日益增强。为进一步倡导“奉献、友爱、互助、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和谐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”的时代新风，引导和激励更多的志愿者,并带动其他志愿者参与志愿服务，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经离退休工作处研究决定，2019年年终将在志愿者会员中开展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“优秀志愿者”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评选活动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6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  <w:shd w:val="clear" w:fill="FFFFFF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评选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  <w:shd w:val="clear" w:fill="FFFFFF"/>
        </w:rPr>
        <w:t>名额: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4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不设具体名额限制，根据2019年度志愿服务所取得的成绩，由离退休工作处和评审小组共同研究决定评选名额。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6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  <w:shd w:val="clear" w:fill="FFFFFF"/>
        </w:rPr>
        <w:t>、评选范围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4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两校区所有青水杉志愿者协会会员。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6" w:firstLineChars="20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  <w:shd w:val="clear" w:fill="FFFFFF"/>
        </w:rPr>
        <w:t>、评选条件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4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1、遵守《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青岛农业大学离退休职工青水杉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志愿者协会章程》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志愿者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协会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的有关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管理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规定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4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2、参加公益活动次数多，时间长，效率高，质量好。服从安排，服务成效显著，做出积极贡献、具有良好的社会影响;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4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3、正式参加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志愿者协会三个月（截止到2019年12月31日）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及以上(以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填表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时间为准)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4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4、能发挥主动精神，积极开展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志愿服务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工作，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品德高尚，群众认可度高；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4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5、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勇于承担工作任务，服从工作安排，任劳任怨，默默奉献；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4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6、在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志愿服务工作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中，无安全事故及影响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协会声誉情况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6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  <w:shd w:val="clear" w:fill="FFFFFF"/>
        </w:rPr>
        <w:t>、评选机构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4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评选机构由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离退休工作处党政领导、协会管理人员、支部委员代表组成评审小组，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成员如下: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4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组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 xml:space="preserve"> 长: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肖 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4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副组长: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张 利 王吉清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4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成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 xml:space="preserve"> 员: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 xml:space="preserve">赵振达 宫君先 盖春玲 刘晓平 于龙飞 隋淑卿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4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 xml:space="preserve">       张永武 姜学海 陈瑞远 辛忠令 蒋秀雁 邵殿贵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6" w:firstLineChars="20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  <w:shd w:val="clear" w:fill="FFFFFF"/>
        </w:rPr>
        <w:t>、评选程序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4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评选活动分为申报提名、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评选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、表彰三个阶段。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6" w:firstLineChars="20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  <w:shd w:val="clear" w:fill="FFFFFF"/>
        </w:rPr>
        <w:t>1、申报提名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4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协会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正式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会员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均可参加评选活动。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评审小组成员可向组长、副组长提名推荐候选对象，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正式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会员也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可向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评审小组提名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推荐候选对象，推荐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对象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名单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汇总到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小组负责人，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推荐对象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需填写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申报表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6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  <w:shd w:val="clear" w:fill="FFFFFF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评选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4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评审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小组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召开会议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，由小组成员对推荐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申报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表进行审核，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确定最终评选优秀志愿者人数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。小组成员进行无记名投票，按得票数量和综合评价确定优秀志愿者正式表彰名单并进行公示。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192" w:afterAutospacing="0"/>
        <w:ind w:left="0" w:right="0" w:firstLine="626" w:firstLineChars="20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  <w:shd w:val="clear" w:fill="FFFFFF"/>
        </w:rPr>
        <w:t>表彰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192" w:afterAutospacing="0"/>
        <w:ind w:right="0" w:rightChars="0" w:firstLine="624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离退休工作处在两校区宣传栏、离退休工作处网站上进行公示表彰，在两校区元旦晚会上进行通报表彰，并颁发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“优秀志愿者”荣誉证书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和奖品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6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  <w:shd w:val="clear" w:fill="FFFFFF"/>
        </w:rPr>
        <w:t>、评选要求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6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  <w:shd w:val="clear" w:fill="FFFFFF"/>
        </w:rPr>
        <w:t>1、高度重视，精心组织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年终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评选活动是展示志愿服务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成绩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的一项重要工作，也是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离退休工作处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成立以来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对协会第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一次表彰评选。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评审小组和各位会员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要以对志愿事业高度负责的态度和扎实细致的作风，开展评选活动的推荐、申报、评审工作。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6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  <w:shd w:val="clear" w:fill="FFFFFF"/>
        </w:rPr>
        <w:t>2、认真推荐，严格把关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。优秀志愿者评选事关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协会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健康长远发展，各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会员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要真正把积极性高、贡献多、作用大的先进典型推荐出来，达到鼓励先进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  <w:t>整体促进的作用。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6" w:firstLineChars="200"/>
        <w:rPr>
          <w:rFonts w:hint="default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3、时间要求。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>2019年12月20日前要完成评选工作。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left="0" w:right="0" w:firstLine="624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right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 xml:space="preserve">                        离退休工作处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right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  <w:t xml:space="preserve">                        2019.10.15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right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right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right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right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right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right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right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right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right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right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right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right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92" w:afterAutospacing="0"/>
        <w:ind w:right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6"/>
          <w:sz w:val="30"/>
          <w:szCs w:val="30"/>
          <w:shd w:val="clear" w:fill="FFFFFF"/>
          <w:lang w:val="en-US" w:eastAsia="zh-CN"/>
        </w:rPr>
      </w:pPr>
    </w:p>
    <w:p>
      <w:pPr>
        <w:spacing w:line="300" w:lineRule="auto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离退休工作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优秀志愿者申报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 xml:space="preserve">表 </w:t>
      </w:r>
    </w:p>
    <w:p>
      <w:pPr>
        <w:spacing w:line="24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</w:p>
    <w:tbl>
      <w:tblPr>
        <w:tblStyle w:val="3"/>
        <w:tblW w:w="8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400"/>
        <w:gridCol w:w="1440"/>
        <w:gridCol w:w="1215"/>
        <w:gridCol w:w="1695"/>
        <w:gridCol w:w="13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69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住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址</w:t>
            </w:r>
          </w:p>
        </w:tc>
        <w:tc>
          <w:tcPr>
            <w:tcW w:w="169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2" w:hRule="atLeast"/>
        </w:trPr>
        <w:tc>
          <w:tcPr>
            <w:tcW w:w="876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  <w:p>
            <w:pPr>
              <w:spacing w:line="300" w:lineRule="auto"/>
              <w:jc w:val="center"/>
              <w:rPr>
                <w:sz w:val="24"/>
              </w:rPr>
            </w:pPr>
          </w:p>
          <w:p>
            <w:pPr>
              <w:spacing w:line="300" w:lineRule="auto"/>
              <w:jc w:val="center"/>
              <w:rPr>
                <w:sz w:val="24"/>
              </w:rPr>
            </w:pPr>
          </w:p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spacing w:line="300" w:lineRule="auto"/>
              <w:jc w:val="center"/>
              <w:rPr>
                <w:sz w:val="24"/>
              </w:rPr>
            </w:pPr>
          </w:p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>
            <w:pPr>
              <w:spacing w:line="300" w:lineRule="auto"/>
              <w:jc w:val="center"/>
              <w:rPr>
                <w:sz w:val="24"/>
              </w:rPr>
            </w:pPr>
          </w:p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</w:t>
            </w:r>
          </w:p>
          <w:p>
            <w:pPr>
              <w:spacing w:line="300" w:lineRule="auto"/>
              <w:jc w:val="center"/>
              <w:rPr>
                <w:sz w:val="24"/>
              </w:rPr>
            </w:pPr>
          </w:p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料</w:t>
            </w:r>
          </w:p>
          <w:p>
            <w:pPr>
              <w:spacing w:line="300" w:lineRule="auto"/>
              <w:rPr>
                <w:sz w:val="24"/>
              </w:rPr>
            </w:pPr>
          </w:p>
          <w:p>
            <w:pPr>
              <w:spacing w:line="300" w:lineRule="auto"/>
              <w:rPr>
                <w:sz w:val="24"/>
              </w:rPr>
            </w:pPr>
          </w:p>
          <w:p>
            <w:pPr>
              <w:spacing w:line="300" w:lineRule="auto"/>
              <w:rPr>
                <w:sz w:val="24"/>
              </w:rPr>
            </w:pPr>
          </w:p>
        </w:tc>
        <w:tc>
          <w:tcPr>
            <w:tcW w:w="7690" w:type="dxa"/>
            <w:gridSpan w:val="6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（不够可附页）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876" w:type="dxa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协会意见</w:t>
            </w:r>
          </w:p>
        </w:tc>
        <w:tc>
          <w:tcPr>
            <w:tcW w:w="7690" w:type="dxa"/>
            <w:gridSpan w:val="6"/>
          </w:tcPr>
          <w:p>
            <w:pPr>
              <w:spacing w:line="300" w:lineRule="auto"/>
              <w:rPr>
                <w:sz w:val="24"/>
              </w:rPr>
            </w:pPr>
          </w:p>
          <w:p>
            <w:pPr>
              <w:spacing w:line="300" w:lineRule="auto"/>
              <w:rPr>
                <w:sz w:val="24"/>
              </w:rPr>
            </w:pPr>
          </w:p>
          <w:p>
            <w:pPr>
              <w:spacing w:line="300" w:lineRule="auto"/>
              <w:rPr>
                <w:sz w:val="24"/>
              </w:rPr>
            </w:pPr>
          </w:p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</w:p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月   日</w:t>
            </w: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876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评审组长意见</w:t>
            </w:r>
          </w:p>
        </w:tc>
        <w:tc>
          <w:tcPr>
            <w:tcW w:w="7690" w:type="dxa"/>
            <w:gridSpan w:val="6"/>
          </w:tcPr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B0A4"/>
    <w:multiLevelType w:val="singleLevel"/>
    <w:tmpl w:val="128AB0A4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75352"/>
    <w:rsid w:val="0D477725"/>
    <w:rsid w:val="26E352A1"/>
    <w:rsid w:val="2C830B61"/>
    <w:rsid w:val="45A638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2019-11-29T02:54:53Z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